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D28">
      <w:pPr>
        <w:widowControl/>
        <w:spacing w:after="160" w:line="252" w:lineRule="auto"/>
        <w:ind w:firstLine="0"/>
        <w:contextualSpacing/>
        <w:jc w:val="right"/>
        <w:textAlignment w:val="baseline"/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en-US"/>
        </w:rPr>
        <w:t>ПРОЕКТ</w:t>
      </w:r>
    </w:p>
    <w:p w:rsidR="00000000" w:rsidRDefault="00537D28">
      <w:pPr>
        <w:jc w:val="center"/>
        <w:textAlignment w:val="baseline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ФЕДЕРАЦИЯ</w:t>
      </w:r>
    </w:p>
    <w:p w:rsidR="00000000" w:rsidRDefault="00537D28">
      <w:pPr>
        <w:jc w:val="center"/>
        <w:textAlignment w:val="baseline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КАРАЧАЕВО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ЧЕРКЕССКОЙ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</w:p>
    <w:p w:rsidR="00000000" w:rsidRDefault="00537D28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37D28">
      <w:pPr>
        <w:jc w:val="center"/>
        <w:textAlignment w:val="baseline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</w:p>
    <w:p w:rsidR="00000000" w:rsidRDefault="00537D28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37D28">
      <w:pPr>
        <w:ind w:firstLine="0"/>
        <w:textAlignment w:val="baseline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2022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  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Черкесск  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000000" w:rsidRDefault="00537D2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tabs>
          <w:tab w:val="left" w:pos="1035"/>
        </w:tabs>
        <w:rPr>
          <w:rFonts w:cstheme="minorBidi"/>
        </w:rPr>
      </w:pPr>
    </w:p>
    <w:p w:rsidR="00000000" w:rsidRDefault="00537D28">
      <w:pPr>
        <w:tabs>
          <w:tab w:val="left" w:pos="1035"/>
        </w:tabs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10.07.2015 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базы»</w:t>
      </w:r>
    </w:p>
    <w:p w:rsidR="00000000" w:rsidRDefault="00537D2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14.07.2012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717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000000" w:rsidRDefault="00537D28">
      <w:pPr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37D28">
      <w:pPr>
        <w:widowControl/>
        <w:ind w:firstLine="709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10.07.2015 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 196 </w:t>
      </w:r>
      <w:r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грантовую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</w:t>
      </w:r>
      <w:r>
        <w:rPr>
          <w:rFonts w:ascii="Times New Roman" w:hAnsi="Times New Roman" w:cs="Times New Roman"/>
          <w:bCs/>
          <w:sz w:val="28"/>
          <w:szCs w:val="28"/>
        </w:rPr>
        <w:t>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22.04.2016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09.02.2017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30.05.2017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 147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29.08.2018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 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25.06.2019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29.05.2020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№118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02.11.2020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№243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08.06.2021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№ 109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537D28">
      <w:pPr>
        <w:widowControl/>
        <w:ind w:firstLine="567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Чеккуева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spacing w:before="260"/>
        <w:ind w:firstLine="567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</w:t>
      </w:r>
      <w:r>
        <w:rPr>
          <w:rFonts w:ascii="Times New Roman" w:hAnsi="Times New Roman" w:cs="Times New Roman"/>
          <w:bCs/>
          <w:sz w:val="28"/>
          <w:szCs w:val="28"/>
        </w:rPr>
        <w:t>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Черкесской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Аргунов</w:t>
      </w:r>
    </w:p>
    <w:p w:rsidR="00000000" w:rsidRDefault="00537D28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Default="00537D28">
      <w:pPr>
        <w:widowControl/>
        <w:ind w:firstLine="0"/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00000" w:rsidRDefault="00537D28">
      <w:pPr>
        <w:widowControl/>
        <w:ind w:firstLine="0"/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000000" w:rsidRDefault="00537D28">
      <w:pPr>
        <w:widowControl/>
        <w:ind w:firstLine="0"/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 2022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000000" w:rsidRDefault="00537D28">
      <w:pPr>
        <w:widowControl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537D28">
      <w:pPr>
        <w:widowControl/>
        <w:ind w:firstLine="426"/>
        <w:jc w:val="center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вносятся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грантовую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базы»</w:t>
      </w:r>
    </w:p>
    <w:p w:rsidR="00000000" w:rsidRDefault="00537D28">
      <w:pPr>
        <w:widowControl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537D28">
      <w:pPr>
        <w:spacing w:line="276" w:lineRule="auto"/>
        <w:ind w:firstLine="0"/>
        <w:rPr>
          <w:rFonts w:cstheme="minorBidi"/>
        </w:rPr>
      </w:pPr>
    </w:p>
    <w:p w:rsidR="00000000" w:rsidRDefault="00537D28">
      <w:pPr>
        <w:spacing w:line="276" w:lineRule="auto"/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«Настоящий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условия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механизм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счет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средст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кредитных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грант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«Предоставление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22.01.2019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счет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текущий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плановый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период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лимитов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доведенных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включая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поступившие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азвития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рынков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продукции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сырья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продовольствия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eastAsia="en-US"/>
        </w:rPr>
        <w:t>июля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717 (</w:t>
      </w:r>
      <w:r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00000" w:rsidRDefault="00537D28">
      <w:pPr>
        <w:pStyle w:val="a5"/>
        <w:spacing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используются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основные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понятия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населенные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рабочие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поселки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входящие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округов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округов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находится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административный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000000" w:rsidRDefault="00537D28">
      <w:pPr>
        <w:widowControl/>
        <w:tabs>
          <w:tab w:val="left" w:pos="630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2)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агломерации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поселки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типа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постоянно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проживающего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превышающей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en-US"/>
        </w:rPr>
        <w:t>. (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агломераций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18.02.2020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</w:t>
      </w:r>
      <w:r>
        <w:rPr>
          <w:rFonts w:ascii="Times New Roman" w:hAnsi="Times New Roman" w:cs="Times New Roman"/>
          <w:sz w:val="28"/>
          <w:szCs w:val="28"/>
        </w:rPr>
        <w:t>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>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хранению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сортировке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убою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охлаждению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транспортировке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орех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грибов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дикорастущие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объединяющие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членства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грантополучателя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5 -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подпунктами «4</w:t>
        </w:r>
      </w:hyperlink>
      <w:r>
        <w:rPr>
          <w:rFonts w:cstheme="minorBidi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«13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cstheme="minorBidi"/>
        </w:rPr>
        <w:t>6</w:t>
      </w:r>
      <w:r>
        <w:rPr>
          <w:rFonts w:cstheme="minorBidi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Министеством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конкурсная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конкурсная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создаваемая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50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процентов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являющиеся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гражданскими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служащими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Карачаево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Черкесской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осуществляющая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отбор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грантополучателей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очного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собеседования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>видео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конференц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приоритетности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грантополучателей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молочного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мясного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скотоводства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перечисляемые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Карачаево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Черкесской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Карачаево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Черкесской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прошедшей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000" w:rsidRDefault="00537D28">
      <w:pPr>
        <w:ind w:firstLine="709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>
        <w:rPr>
          <w:rFonts w:ascii="Times New Roman" w:hAnsi="Times New Roman" w:cs="Times New Roman"/>
          <w:bCs/>
          <w:sz w:val="28"/>
          <w:szCs w:val="28"/>
        </w:rPr>
        <w:t>иные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термины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используемые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</w:t>
      </w:r>
      <w:r>
        <w:rPr>
          <w:rFonts w:ascii="Times New Roman" w:hAnsi="Times New Roman" w:cs="Times New Roman"/>
          <w:bCs/>
          <w:sz w:val="28"/>
          <w:szCs w:val="28"/>
        </w:rPr>
        <w:t>оящем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применяются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значениях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14.07.2012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717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рынков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сырья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продовольств</w:t>
      </w:r>
      <w:r>
        <w:rPr>
          <w:rFonts w:ascii="Times New Roman" w:hAnsi="Times New Roman" w:cs="Times New Roman"/>
          <w:bCs/>
          <w:sz w:val="28"/>
          <w:szCs w:val="28"/>
        </w:rPr>
        <w:t>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нормативными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нормативными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Карачаево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Черкесской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00000" w:rsidRDefault="00537D28">
      <w:pPr>
        <w:pStyle w:val="a5"/>
        <w:widowControl/>
        <w:spacing w:before="280"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«Участниками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отбора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для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гранта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развити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материально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технической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базы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проводимого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Министерством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форме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конкурса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далее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-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конкурсный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отбор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),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являются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сельскохозяйственные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потребительские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кооперативы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за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исключением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сельскохозяйственных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кредитных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потребительских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кооперативов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000000" w:rsidRDefault="00537D28">
      <w:pPr>
        <w:widowControl/>
        <w:spacing w:before="280"/>
        <w:ind w:firstLine="540"/>
        <w:rPr>
          <w:rFonts w:cstheme="minorBidi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Организатором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пров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едения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конкурсного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отбора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является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Министерство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которое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своим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приказом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образует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конкурсную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комиссию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утверждает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состав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ней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также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порядок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внесения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изменений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бизнес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план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Грантополучателем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является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сельскохозяйственный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потребительский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кооператив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соответствующий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условиям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установленным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настоящим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Порядком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прошедший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конкурсный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отбор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соответствии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его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требованиями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000000" w:rsidRDefault="00537D28">
      <w:pPr>
        <w:pStyle w:val="a5"/>
        <w:widowControl/>
        <w:spacing w:before="280"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537D28">
      <w:pPr>
        <w:pStyle w:val="a5"/>
        <w:widowControl/>
        <w:spacing w:before="280"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>
        <w:rPr>
          <w:rFonts w:cstheme="minorBidi"/>
        </w:rPr>
        <w:t xml:space="preserve">6 -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 xml:space="preserve">7»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70,0 </w:t>
      </w:r>
      <w:r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«5» пункта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spacing w:before="260"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израсходован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</w:t>
      </w:r>
      <w:r>
        <w:rPr>
          <w:rFonts w:ascii="Times New Roman" w:hAnsi="Times New Roman" w:cs="Times New Roman"/>
          <w:sz w:val="28"/>
          <w:szCs w:val="28"/>
        </w:rPr>
        <w:t>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ом </w:t>
        </w:r>
      </w:hyperlink>
      <w:r>
        <w:rPr>
          <w:rFonts w:cstheme="minorBidi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spacing w:before="260"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37D28">
      <w:pPr>
        <w:widowControl/>
        <w:spacing w:before="260"/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«Грант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</w:t>
      </w:r>
      <w:r>
        <w:rPr>
          <w:rFonts w:ascii="Times New Roman" w:hAnsi="Times New Roman" w:cs="Times New Roman"/>
          <w:sz w:val="28"/>
          <w:szCs w:val="28"/>
        </w:rPr>
        <w:t>льщика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хранению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сортировке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убою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подработки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сортировки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убоя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охлаждения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погрузки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дикорастущи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выпускаемой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производимой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перерабатываемой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фургонов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прицепов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полуприцепов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вагонов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контейнеров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дикорастущ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специализированный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фургоны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товарного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рыбоводства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аквакультуры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погашение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постановл</w:t>
        </w:r>
        <w:r>
          <w:rPr>
            <w:rFonts w:ascii="Times New Roman" w:hAnsi="Times New Roman" w:cs="Times New Roman"/>
            <w:sz w:val="28"/>
            <w:szCs w:val="28"/>
          </w:rPr>
          <w:t>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1528 "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ВЭБ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последующую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промышленную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ставке</w:t>
      </w:r>
      <w:r>
        <w:rPr>
          <w:rFonts w:ascii="Times New Roman" w:hAnsi="Times New Roman" w:cs="Times New Roman"/>
          <w:sz w:val="28"/>
          <w:szCs w:val="28"/>
        </w:rPr>
        <w:t>"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льготный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конопли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конопли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537D2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537D28">
      <w:pPr>
        <w:widowControl/>
        <w:ind w:firstLine="294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«Для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>
        <w:rPr>
          <w:rFonts w:cstheme="minorBidi"/>
          <w:color w:val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членст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ревизионный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</w:t>
      </w:r>
      <w:r>
        <w:rPr>
          <w:rFonts w:ascii="Times New Roman" w:hAnsi="Times New Roman" w:cs="Times New Roman"/>
          <w:sz w:val="28"/>
          <w:szCs w:val="28"/>
        </w:rPr>
        <w:t>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Центрпотребсоюз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респотребсоюз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</w:t>
      </w:r>
      <w:r>
        <w:rPr>
          <w:rFonts w:ascii="Times New Roman" w:hAnsi="Times New Roman" w:cs="Times New Roman"/>
          <w:sz w:val="28"/>
          <w:szCs w:val="28"/>
        </w:rPr>
        <w:t>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членства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взносов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штрафов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превышающей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>
        <w:rPr>
          <w:rFonts w:ascii="Times New Roman" w:hAnsi="Times New Roman" w:cs="Times New Roman"/>
          <w:sz w:val="28"/>
          <w:szCs w:val="28"/>
        </w:rPr>
        <w:t>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неурегулированной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предшествующем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</w:t>
      </w:r>
      <w:r>
        <w:rPr>
          <w:rFonts w:ascii="Times New Roman" w:hAnsi="Times New Roman" w:cs="Times New Roman"/>
          <w:sz w:val="28"/>
          <w:szCs w:val="28"/>
        </w:rPr>
        <w:t>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выжигание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травянистой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стерни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пожнивных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1479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складочном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капит</w:t>
      </w:r>
      <w:r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Минфин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офшорные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19.11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19.12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подпунктами «1</w:t>
        </w:r>
      </w:hyperlink>
      <w:r>
        <w:rPr>
          <w:rFonts w:cstheme="minorBidi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«4</w:t>
        </w:r>
      </w:hyperlink>
      <w:r>
        <w:rPr>
          <w:rFonts w:cstheme="minorBidi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 xml:space="preserve">«7»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несубсидируемых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займов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16)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кооператива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неделимый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кооператива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оператива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валюты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валютным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поставке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высокотехнологичного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20) </w:t>
      </w:r>
      <w:r>
        <w:rPr>
          <w:rFonts w:ascii="Times New Roman" w:hAnsi="Times New Roman" w:cs="Times New Roman"/>
          <w:bCs/>
          <w:sz w:val="28"/>
          <w:szCs w:val="28"/>
        </w:rPr>
        <w:t>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кооператива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необходимого для достижения результата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гранта на развитие материально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 показатель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 соглашение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финансов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0" w:history="1">
        <w:r>
          <w:rPr>
            <w:rFonts w:ascii="Times New Roman" w:hAnsi="Times New Roman" w:cs="Times New Roman"/>
            <w:bCs/>
            <w:sz w:val="28"/>
            <w:szCs w:val="28"/>
          </w:rPr>
          <w:t>статьями 268</w:t>
        </w:r>
      </w:hyperlink>
      <w:r>
        <w:rPr>
          <w:rFonts w:ascii="Times New Roman" w:hAnsi="Times New Roman" w:cs="Times New Roman"/>
          <w:bCs/>
          <w:sz w:val="28"/>
          <w:szCs w:val="28"/>
        </w:rPr>
        <w:t> и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1" w:history="1">
        <w:r>
          <w:rPr>
            <w:rFonts w:ascii="Times New Roman" w:hAnsi="Times New Roman" w:cs="Times New Roman"/>
            <w:bCs/>
            <w:sz w:val="28"/>
            <w:szCs w:val="28"/>
          </w:rPr>
          <w:t>269</w:t>
        </w:r>
      </w:hyperlink>
      <w:r>
        <w:rPr>
          <w:rFonts w:ascii="Times New Roman" w:hAnsi="Times New Roman" w:cs="Times New Roman"/>
          <w:bCs/>
          <w:sz w:val="28"/>
          <w:szCs w:val="28"/>
        </w:rPr>
        <w:t> Бюджетного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Default="00537D28">
      <w:pPr>
        <w:pStyle w:val="3f3f3f3f3f3f3f3f3f3f3f3f3f3f3f3f3f3f1"/>
        <w:widowControl/>
        <w:spacing w:before="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21)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наличие обязательства сельскохозяйственного потребительского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кооператива о включении в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договоры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ключаемые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кооперативом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исполнения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обязательств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получающих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договоров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заключенных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кооперативом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получившим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грант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витие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материально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технической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базы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исключением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унитарных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предприятий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хозяйственных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товариществ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обществ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участием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публично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правовых 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уставных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складочных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капиталах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коммерческих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организа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участием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таких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товариществ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обществ в их уставных 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складочных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капиталах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(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лица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получающие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основании 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договоров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осуществление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отношении них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проверок 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соблюдения ими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условий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анта на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развитие 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материально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технической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базы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 в том числе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достижения значения 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результата и значения показателя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 установленных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соглашением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 а также 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 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проверок органами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финансового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контроля в 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соответствии со </w:t>
      </w:r>
      <w:hyperlink r:id="rId42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статьями 268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 и </w:t>
      </w:r>
      <w:hyperlink r:id="rId43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269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000000" w:rsidRDefault="00537D28">
      <w:pPr>
        <w:widowControl/>
        <w:ind w:firstLine="0"/>
        <w:jc w:val="left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00000" w:rsidRDefault="00537D28">
      <w:pPr>
        <w:widowControl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hyperlink r:id="rId44" w:history="1">
        <w:r>
          <w:rPr>
            <w:rFonts w:ascii="Times New Roman" w:hAnsi="Times New Roman" w:cs="Times New Roman"/>
            <w:color w:val="0000FF"/>
            <w:szCs w:val="28"/>
            <w:u w:val="single"/>
          </w:rPr>
          <w:t>www.mcxkchr.ru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«Интернет»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00000" w:rsidRDefault="00537D28">
      <w:pPr>
        <w:widowControl/>
        <w:ind w:firstLine="5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Конкурсный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отбор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объявляется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приказом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календарных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дней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днем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(http://mcxkchr.ru.)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ом </w:t>
        </w:r>
      </w:hyperlink>
      <w:hyperlink r:id="rId46" w:history="1">
        <w:r>
          <w:rPr>
            <w:rFonts w:ascii="Times New Roman" w:hAnsi="Times New Roman" w:cs="Times New Roman"/>
            <w:sz w:val="28"/>
            <w:szCs w:val="28"/>
          </w:rPr>
          <w:t>«</w:t>
        </w:r>
      </w:hyperlink>
      <w:hyperlink r:id="rId47" w:history="1">
        <w:r>
          <w:rPr>
            <w:rFonts w:ascii="Times New Roman" w:hAnsi="Times New Roman" w:cs="Times New Roman"/>
            <w:sz w:val="28"/>
            <w:szCs w:val="28"/>
          </w:rPr>
          <w:t>б»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1492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Объявление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проведении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чи</w:t>
      </w:r>
      <w:r>
        <w:rPr>
          <w:rFonts w:ascii="Times New Roman" w:hAnsi="Times New Roman" w:cs="Times New Roman"/>
          <w:sz w:val="28"/>
          <w:szCs w:val="28"/>
          <w:lang w:eastAsia="en-US"/>
        </w:rPr>
        <w:t>сле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содержать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сведения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00000" w:rsidRDefault="00537D28">
      <w:pPr>
        <w:widowControl/>
        <w:tabs>
          <w:tab w:val="left" w:pos="780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8%;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уклонившимся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pStyle w:val="a5"/>
        <w:spacing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9. 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8"/>
            <w:szCs w:val="28"/>
          </w:rPr>
          <w:t xml:space="preserve">абзацем первым пункта </w:t>
        </w:r>
      </w:hyperlink>
      <w:r>
        <w:rPr>
          <w:rFonts w:cstheme="minorBidi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</w:t>
      </w:r>
      <w:r>
        <w:rPr>
          <w:rFonts w:ascii="Times New Roman" w:hAnsi="Times New Roman" w:cs="Times New Roman"/>
          <w:sz w:val="28"/>
          <w:szCs w:val="28"/>
        </w:rPr>
        <w:t>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8"/>
            <w:szCs w:val="28"/>
          </w:rPr>
          <w:t>подпунктами «1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8"/>
            <w:szCs w:val="28"/>
          </w:rPr>
          <w:t xml:space="preserve">«21»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подпунктом «20»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</w:t>
      </w:r>
      <w:r>
        <w:rPr>
          <w:rFonts w:ascii="Times New Roman" w:hAnsi="Times New Roman" w:cs="Times New Roman"/>
          <w:sz w:val="28"/>
          <w:szCs w:val="28"/>
        </w:rPr>
        <w:t>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>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Центрпотребсоюзе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Респотребсоюзе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Центрпотребсоюза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Респотребсоюза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Центрпотребсоюза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</w:t>
      </w:r>
      <w:r>
        <w:rPr>
          <w:rFonts w:ascii="Times New Roman" w:hAnsi="Times New Roman" w:cs="Times New Roman"/>
          <w:sz w:val="28"/>
          <w:szCs w:val="28"/>
        </w:rPr>
        <w:t>требсоюза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</w:t>
      </w:r>
      <w:r>
        <w:rPr>
          <w:rFonts w:ascii="Times New Roman" w:hAnsi="Times New Roman" w:cs="Times New Roman"/>
          <w:sz w:val="28"/>
          <w:szCs w:val="28"/>
        </w:rPr>
        <w:t>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</w:t>
      </w:r>
      <w:r>
        <w:rPr>
          <w:rFonts w:ascii="Times New Roman" w:hAnsi="Times New Roman" w:cs="Times New Roman"/>
          <w:sz w:val="28"/>
          <w:szCs w:val="28"/>
        </w:rPr>
        <w:t>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widowControl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8)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неурегулированной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37D28">
      <w:pPr>
        <w:spacing w:line="276" w:lineRule="auto"/>
        <w:ind w:firstLine="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40%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000" w:rsidRDefault="00537D28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  <w:lang w:bidi="ar-S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</w:t>
      </w:r>
      <w:r>
        <w:rPr>
          <w:rFonts w:ascii="Times New Roman" w:hAnsi="Times New Roman" w:cs="Times New Roman"/>
          <w:sz w:val="28"/>
          <w:szCs w:val="28"/>
          <w:lang w:bidi="ar-S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30%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</w:t>
      </w:r>
      <w:r>
        <w:rPr>
          <w:rFonts w:ascii="Times New Roman" w:hAnsi="Times New Roman" w:cs="Times New Roman"/>
          <w:sz w:val="28"/>
          <w:szCs w:val="28"/>
          <w:lang w:bidi="ar-S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дикора</w:t>
      </w:r>
      <w:r>
        <w:rPr>
          <w:rFonts w:ascii="Times New Roman" w:hAnsi="Times New Roman" w:cs="Times New Roman"/>
          <w:sz w:val="28"/>
          <w:szCs w:val="28"/>
        </w:rPr>
        <w:t>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скрепленная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537D28">
      <w:pPr>
        <w:pStyle w:val="a5"/>
        <w:spacing w:line="276" w:lineRule="auto"/>
        <w:ind w:left="0" w:firstLine="491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537D28">
      <w:pPr>
        <w:pStyle w:val="a5"/>
        <w:spacing w:line="276" w:lineRule="auto"/>
        <w:ind w:left="0" w:firstLine="0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10.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00000" w:rsidRDefault="00537D28">
      <w:pPr>
        <w:widowControl/>
        <w:ind w:hanging="340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настоящег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</w:p>
    <w:p w:rsidR="00000000" w:rsidRDefault="00537D28">
      <w:pPr>
        <w:widowControl/>
        <w:ind w:firstLine="567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7D28">
      <w:pPr>
        <w:widowControl/>
        <w:ind w:firstLine="426"/>
        <w:rPr>
          <w:rFonts w:ascii="Times New Roman" w:hAnsi="Times New Roman" w:cs="Times New Roman"/>
          <w:strike/>
          <w:sz w:val="28"/>
          <w:szCs w:val="28"/>
          <w:shd w:val="clear" w:color="auto" w:fill="00FF00"/>
          <w:lang w:eastAsia="en-US"/>
        </w:rPr>
      </w:pP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3180"/>
        <w:gridCol w:w="1953"/>
      </w:tblGrid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Аргунов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Озов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Чеккуев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Суюнчев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Астежева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Камышан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Накохов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Тлишев</w:t>
            </w: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 </w:t>
            </w:r>
          </w:p>
        </w:tc>
      </w:tr>
      <w:tr w:rsidR="000000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  <w:p w:rsidR="00000000" w:rsidRDefault="00537D28">
            <w:pPr>
              <w:shd w:val="clear" w:color="auto" w:fill="FFFFFF"/>
              <w:tabs>
                <w:tab w:val="left" w:pos="7649"/>
              </w:tabs>
              <w:ind w:firstLine="0"/>
              <w:jc w:val="lef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ind w:firstLine="0"/>
              <w:rPr>
                <w:rFonts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="Times New Roman"/>
                <w:lang w:bidi="hi-IN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</w:p>
          <w:p w:rsidR="00000000" w:rsidRDefault="00537D28">
            <w:pPr>
              <w:pStyle w:val="3f3f3f3f3f3f3f3f3f3f3f3f3f3f3f3f3f3f3f3f3f3f3f3f3f3f3f3f3f3f3f3f3f3f1"/>
              <w:shd w:val="clear" w:color="auto" w:fill="FFFFFF"/>
              <w:tabs>
                <w:tab w:val="left" w:pos="7649"/>
              </w:tabs>
              <w:ind w:firstLine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Боташев</w:t>
            </w:r>
          </w:p>
        </w:tc>
      </w:tr>
    </w:tbl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cs="Times New Roman"/>
        </w:rPr>
      </w:pPr>
    </w:p>
    <w:p w:rsidR="00000000" w:rsidRDefault="00537D28">
      <w:pPr>
        <w:shd w:val="clear" w:color="auto" w:fill="FFFFFF"/>
        <w:tabs>
          <w:tab w:val="left" w:pos="7649"/>
        </w:tabs>
        <w:ind w:firstLine="0"/>
        <w:rPr>
          <w:rFonts w:cstheme="minorBidi"/>
        </w:rPr>
      </w:pP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537D28">
      <w:pPr>
        <w:rPr>
          <w:rFonts w:cs="Times New Roman"/>
        </w:rPr>
      </w:pPr>
    </w:p>
    <w:p w:rsidR="00000000" w:rsidRDefault="00537D28">
      <w:pPr>
        <w:rPr>
          <w:rFonts w:cs="Times New Roman"/>
        </w:rPr>
      </w:pPr>
    </w:p>
    <w:p w:rsidR="00000000" w:rsidRDefault="00537D28">
      <w:pPr>
        <w:rPr>
          <w:rFonts w:cs="Times New Roman"/>
        </w:rPr>
      </w:pPr>
    </w:p>
    <w:p w:rsidR="00000000" w:rsidRDefault="00537D28">
      <w:pPr>
        <w:pStyle w:val="3f3f3f3f3f3f3f3f3f3f3f3f3f3f3f3f3f3f1"/>
        <w:widowControl/>
        <w:spacing w:before="200"/>
        <w:rPr>
          <w:rFonts w:cstheme="minorBidi"/>
          <w:bCs w:val="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000000" w:rsidRDefault="00537D28">
      <w:pPr>
        <w:rPr>
          <w:rFonts w:cstheme="minorBidi"/>
        </w:rPr>
      </w:pPr>
    </w:p>
    <w:sectPr w:rsidR="00000000">
      <w:type w:val="continuous"/>
      <w:pgSz w:w="11906" w:h="16838"/>
      <w:pgMar w:top="1100" w:right="848" w:bottom="993" w:left="15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D28">
      <w:r>
        <w:separator/>
      </w:r>
    </w:p>
  </w:endnote>
  <w:endnote w:type="continuationSeparator" w:id="0">
    <w:p w:rsidR="00000000" w:rsidRDefault="0053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D28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53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8"/>
    <w:rsid w:val="005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13f3f3f3f3f3f3f3f">
    <w:name w:val="З3f3fа3f3fг3f3fо3f3fл3f3fо3f3fв3f3fо3f3fк3f3f 1 З3f3fн3f3fа3f3fк3f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3f3f3f3f3f3f3f3f3f3f3f3f3f3f3f3f3f">
    <w:name w:val="Ц3f3fв3f3fе3f3fт3f3fо3f3fв3f3fо3f3fе3f3f в3f3fы3f3fд3f3fе3f3fл3f3fе3f3fн3f3fи3f3fе3f3f"/>
    <w:uiPriority w:val="99"/>
    <w:rPr>
      <w:b/>
      <w:bCs/>
      <w:color w:val="26282F"/>
    </w:rPr>
  </w:style>
  <w:style w:type="character" w:customStyle="1" w:styleId="3f3f3f3f3f3f3f3f3f3f3f3f3f3f3f3f3f3f3f3f3f3f3f3f3f3f3f3f3f3f3f3f3f3f3f3f3f3f3f3f">
    <w:name w:val="Г3f3fи3f3fп3f3fе3f3fр3f3fт3f3fе3f3fк3f3fс3f3fт3f3fо3f3fв3f3fа3f3fя3f3f с3f3fс3f3fы3f3fл3f3fк3f3fа3f3f"/>
    <w:basedOn w:val="3f3f3f3f3f3f3f3f3f3f3f3f3f3f3f3f3f3f3f3f3f3f3f3f3f3f3f3f3f3f3f3f3f3f"/>
    <w:uiPriority w:val="99"/>
    <w:rPr>
      <w:rFonts w:eastAsia="Times New Roman"/>
      <w:b/>
      <w:bCs/>
      <w:color w:val="106BBE"/>
    </w:rPr>
  </w:style>
  <w:style w:type="character" w:customStyle="1" w:styleId="3f3f3f3f3f3f3f3f3f3f3f3f3f3f3f3f3f3f3f3f3f3f3f3f3f3f3f3f3f3f3f3f3f3f3f3f3f3f3f3f3f3f3f3f3f3f3f3f3f3f">
    <w:name w:val="Ц3f3fв3f3fе3f3fт3f3fо3f3fв3f3fо3f3fе3f3f в3f3fы3f3fд3f3fе3f3fл3f3fе3f3fн3f3fи3f3fе3f3f д3f3fл3f3fя3f3f Т3f3fе3f3fк3f3fс3f3fт3f3f"/>
    <w:uiPriority w:val="99"/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3f3f3f3f3f3f3f3f3f3f3f3f3f3f3f3f3f3f3f3f3f3f3f3f3f3f3f3f3f3f">
    <w:name w:val="С3f3fи3f3fм3f3fв3f3fо3f3fл3f3f н3f3fу3f3fм3f3fе3f3fр3f3fа3f3fц3f3fи3f3fи3f3f"/>
    <w:uiPriority w:val="99"/>
  </w:style>
  <w:style w:type="character" w:customStyle="1" w:styleId="ListLabel99">
    <w:name w:val="ListLabel 9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4"/>
      <w:szCs w:val="14"/>
    </w:rPr>
  </w:style>
  <w:style w:type="character" w:customStyle="1" w:styleId="ListLabel135">
    <w:name w:val="ListLabel 135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ascii="Times New Roman" w:eastAsia="Times New Roman" w:cs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3f3f3f3f3f3f3f3f3f3f3f3f3f3f3f">
    <w:name w:val="С3fи3fм3fв3fо3fл3f н3fу3fм3fе3fр3fа3fц3fи3fи3f"/>
    <w:uiPriority w:val="99"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pPr>
      <w:suppressLineNumbers/>
    </w:pPr>
  </w:style>
  <w:style w:type="paragraph" w:customStyle="1" w:styleId="3f3f3f3f3f3f3f3f3f3f3f3f3f3f3f3f3f3f1">
    <w:name w:val="З3f3fа3f3fг3f3fо3f3fл3f3fо3f3fв3f3fо3f3fк3f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3f3f3f3f3f3f">
    <w:name w:val="С3f3fп3f3fи3f3fс3f3fо3f3fк3f3f"/>
    <w:uiPriority w:val="99"/>
    <w:pPr>
      <w:widowControl w:val="0"/>
      <w:suppressAutoHyphens/>
      <w:autoSpaceDE w:val="0"/>
      <w:autoSpaceDN w:val="0"/>
      <w:adjustRightInd w:val="0"/>
      <w:spacing w:after="140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">
    <w:name w:val="У3f3fк3f3fа3f3fз3f3fа3f3fт3f3fе3f3fл3f3fь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3f3f3f">
    <w:name w:val="Т3f3fе3f3fк3f3fс3f3fт3f3f и3f3fн3f3fф3f3fо3f3fр3f3fм3f3fа3f3fц3f3fи3f3fи3f3f о3f3fб3f3f и3f3fз3f3fм3f3fе3f3fн3f3fе3f3fн3f3fи3f3fя3f3fх3f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3f3f3f3f3f3f3f3f3f3f3f3f3f3f3f3f3f3f3f3f3f3f">
    <w:name w:val="И3f3fн3f3fф3f3fо3f3fр3f3fм3f3fа3f3fц3f3fи3f3fя3f3f о3f3fб3f3f и3f3fз3f3fм3f3fе3f3fн3f3fе3f3fн3f3fи3f3fя3f3fх3f3f"/>
    <w:basedOn w:val="3f3f3f3f3f3f3f3f3f3f3f3f3f3f3f3f3f3f3f3f3f3f3f3f3f3f3f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3f3f3f3f3f3f3f3f3f3f3f3f">
    <w:name w:val="Т3f3fе3f3fк3f3fс3f3fт3f3f (с3f3fп3f3fр3f3fа3f3fв3f3fк3f3fа3f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3f3f3f3f3f3f3f3f3f3f3f">
    <w:name w:val="К3f3fо3f3fм3f3fм3f3fе3f3fн3f3fт3f3fа3f3fр3f3fи3f3fй3f3f"/>
    <w:basedOn w:val="3f3f3f3f3f3f3f3f3f3f3f3f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3f3f3f3f3f3f3f3f3f3f3f3f3f3f3f3f3f3f3f3f3f3f3f3f3f3f3f3f3f3f3f">
    <w:name w:val="И3f3fн3f3fф3f3fо3f3fр3f3fм3f3fа3f3fц3f3fи3f3fя3f3f о3f3fб3f3f и3f3fз3f3fм3f3fе3f3fн3f3fе3f3fн3f3fи3f3fя3f3fх3f3f д3f3fо3f3fк3f3fу3f3fм3f3fе3f3fн3f3fт3f3fа3f3f"/>
    <w:basedOn w:val="3f3f3f3f3f3f3f3f3f3f3f3f3f3f3f3f3f3f3f3f3f3f"/>
    <w:uiPriority w:val="99"/>
    <w:rPr>
      <w:i/>
      <w:iCs/>
    </w:rPr>
  </w:style>
  <w:style w:type="paragraph" w:customStyle="1" w:styleId="3f3f3f3f3f3f3f3f3f3f3f3f3f3f3f3f3f3f3f3f3f3f3f3f3f3f3f3f3f3f3f3f3f3f0">
    <w:name w:val="Н3f3fо3f3fр3f3fм3f3fа3f3fл3f3fь3f3fн3f3fы3f3fй3f3f (т3f3fа3f3fб3f3fл3f3fи3f3fц3f3fа3f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3f3f3f3f3f3f3f3f3f3f3f3f3f3f3f3f3f3f3f">
    <w:name w:val="Т3f3fа3f3fб3f3fл3f3fи3f3fц3f3fы3f3f (м3f3fо3f3fн3f3fо3f3fш3f3fи3f3fр3f3fи3f3fн3f3fн3f3fы3f3fй3f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3f3f3f3f3f3f3f3f3f3f3f3f3f3f3f3f3f3f3f3f3f3f3f3f3f3f3f3f3f3f3f3f3f3f3f3f3f">
    <w:name w:val="П3f3fо3f3fд3f3fз3f3fа3f3fг3f3fо3f3fл3f3fо3f3fв3f3fо3f3fк3f3f д3f3fл3f3fя3f3f и3f3fн3f3fф3f3fо3f3fр3f3fм3f3fа3f3fц3f3fи3f3fи3f3f о3f3fб3f3f и3f3fз3f3fм3f3fе3f3fн3f3fе3f3fн3f3fи3f3fя3f3fх3f3f"/>
    <w:basedOn w:val="3f3f3f3f3f3f3f3f3f3f3f3f3f3f3f3f3f3f3f3f3f3f3f3f3f3f3f3f3f3f3f3f3f3f3f3f3f3f3f3f3f3f3f3f3f3f3f3f3f3f3f3f3f3f"/>
    <w:uiPriority w:val="99"/>
    <w:rPr>
      <w:b/>
      <w:bCs/>
    </w:rPr>
  </w:style>
  <w:style w:type="paragraph" w:customStyle="1" w:styleId="3f3f3f3f3f3f3f3f3f3f3f3f3f3f3f3f3f3f3f3f3f3f3f3f3f3f0">
    <w:name w:val="П3f3fр3f3fи3f3fж3f3fа3f3fт3f3fы3f3fй3f3f в3f3fл3f3fе3f3fв3f3fо3f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customStyle="1" w:styleId="3f3f3f3f3f3f3f3f3f3f3f3f3f3f3f3f3f3f3f3f3f3f3f3f3f3f3f3f3f3f3f3f3f3f1">
    <w:name w:val="С3f3fо3f3fд3f3fе3f3fр3f3fж3f3fи3f3fм3f3fо3f3fе3f3f т3f3fа3f3fб3f3fл3f3fи3f3fц3f3fы3f3f"/>
    <w:basedOn w:val="a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13f3f3f3f3f3f3f3f">
    <w:name w:val="З3f3fа3f3fг3f3fо3f3fл3f3fо3f3fв3f3fо3f3fк3f3f 1 З3f3fн3f3fа3f3fк3f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3f3f3f3f3f3f3f3f3f3f3f3f3f3f3f3f3f">
    <w:name w:val="Ц3f3fв3f3fе3f3fт3f3fо3f3fв3f3fо3f3fе3f3f в3f3fы3f3fд3f3fе3f3fл3f3fе3f3fн3f3fи3f3fе3f3f"/>
    <w:uiPriority w:val="99"/>
    <w:rPr>
      <w:b/>
      <w:bCs/>
      <w:color w:val="26282F"/>
    </w:rPr>
  </w:style>
  <w:style w:type="character" w:customStyle="1" w:styleId="3f3f3f3f3f3f3f3f3f3f3f3f3f3f3f3f3f3f3f3f3f3f3f3f3f3f3f3f3f3f3f3f3f3f3f3f3f3f3f3f">
    <w:name w:val="Г3f3fи3f3fп3f3fе3f3fр3f3fт3f3fе3f3fк3f3fс3f3fт3f3fо3f3fв3f3fа3f3fя3f3f с3f3fс3f3fы3f3fл3f3fк3f3fа3f3f"/>
    <w:basedOn w:val="3f3f3f3f3f3f3f3f3f3f3f3f3f3f3f3f3f3f3f3f3f3f3f3f3f3f3f3f3f3f3f3f3f3f"/>
    <w:uiPriority w:val="99"/>
    <w:rPr>
      <w:rFonts w:eastAsia="Times New Roman"/>
      <w:b/>
      <w:bCs/>
      <w:color w:val="106BBE"/>
    </w:rPr>
  </w:style>
  <w:style w:type="character" w:customStyle="1" w:styleId="3f3f3f3f3f3f3f3f3f3f3f3f3f3f3f3f3f3f3f3f3f3f3f3f3f3f3f3f3f3f3f3f3f3f3f3f3f3f3f3f3f3f3f3f3f3f3f3f3f3f">
    <w:name w:val="Ц3f3fв3f3fе3f3fт3f3fо3f3fв3f3fо3f3fе3f3f в3f3fы3f3fд3f3fе3f3fл3f3fе3f3fн3f3fи3f3fе3f3f д3f3fл3f3fя3f3f Т3f3fе3f3fк3f3fс3f3fт3f3f"/>
    <w:uiPriority w:val="99"/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3f3f3f3f3f3f3f3f3f3f3f3f3f3f3f3f3f3f3f3f3f3f3f3f3f3f3f3f3f3f">
    <w:name w:val="С3f3fи3f3fм3f3fв3f3fо3f3fл3f3f н3f3fу3f3fм3f3fе3f3fр3f3fа3f3fц3f3fи3f3fи3f3f"/>
    <w:uiPriority w:val="99"/>
  </w:style>
  <w:style w:type="character" w:customStyle="1" w:styleId="ListLabel99">
    <w:name w:val="ListLabel 9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4"/>
      <w:szCs w:val="14"/>
    </w:rPr>
  </w:style>
  <w:style w:type="character" w:customStyle="1" w:styleId="ListLabel135">
    <w:name w:val="ListLabel 135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ascii="Times New Roman" w:eastAsia="Times New Roman" w:cs="Times New Roman"/>
      <w:sz w:val="28"/>
      <w:szCs w:val="28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ascii="Times New Roman" w:eastAsia="Times New Roman" w:cs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3f3f3f3f3f3f3f3f3f3f3f3f3f3f3f">
    <w:name w:val="С3fи3fм3fв3fо3fл3f н3fу3fм3fе3fр3fа3fц3fи3fи3f"/>
    <w:uiPriority w:val="99"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pPr>
      <w:suppressLineNumbers/>
    </w:pPr>
  </w:style>
  <w:style w:type="paragraph" w:customStyle="1" w:styleId="3f3f3f3f3f3f3f3f3f3f3f3f3f3f3f3f3f3f1">
    <w:name w:val="З3f3fа3f3fг3f3fо3f3fл3f3fо3f3fв3f3fо3f3fк3f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3f3f3f3f3f3f">
    <w:name w:val="С3f3fп3f3fи3f3fс3f3fо3f3fк3f3f"/>
    <w:uiPriority w:val="99"/>
    <w:pPr>
      <w:widowControl w:val="0"/>
      <w:suppressAutoHyphens/>
      <w:autoSpaceDE w:val="0"/>
      <w:autoSpaceDN w:val="0"/>
      <w:adjustRightInd w:val="0"/>
      <w:spacing w:after="140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">
    <w:name w:val="У3f3fк3f3fа3f3fз3f3fа3f3fт3f3fе3f3fл3f3fь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3f3f3f">
    <w:name w:val="Т3f3fе3f3fк3f3fс3f3fт3f3f и3f3fн3f3fф3f3fо3f3fр3f3fм3f3fа3f3fц3f3fи3f3fи3f3f о3f3fб3f3f и3f3fз3f3fм3f3fе3f3fн3f3fе3f3fн3f3fи3f3fя3f3fх3f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3f3f3f3f3f3f3f3f3f3f3f3f3f3f3f3f3f3f3f3f3f3f">
    <w:name w:val="И3f3fн3f3fф3f3fо3f3fр3f3fм3f3fа3f3fц3f3fи3f3fя3f3f о3f3fб3f3f и3f3fз3f3fм3f3fе3f3fн3f3fе3f3fн3f3fи3f3fя3f3fх3f3f"/>
    <w:basedOn w:val="3f3f3f3f3f3f3f3f3f3f3f3f3f3f3f3f3f3f3f3f3f3f3f3f3f3f3f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3f3f3f3f3f3f3f3f3f3f3f3f">
    <w:name w:val="Т3f3fе3f3fк3f3fс3f3fт3f3f (с3f3fп3f3fр3f3fа3f3fв3f3fк3f3fа3f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3f3f3f3f3f3f3f3f3f3f3f">
    <w:name w:val="К3f3fо3f3fм3f3fм3f3fе3f3fн3f3fт3f3fа3f3fр3f3fи3f3fй3f3f"/>
    <w:basedOn w:val="3f3f3f3f3f3f3f3f3f3f3f3f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3f3f3f3f3f3f3f3f3f3f3f3f3f3f3f3f3f3f3f3f3f3f3f3f3f3f3f3f3f3f3f">
    <w:name w:val="И3f3fн3f3fф3f3fо3f3fр3f3fм3f3fа3f3fц3f3fи3f3fя3f3f о3f3fб3f3f и3f3fз3f3fм3f3fе3f3fн3f3fе3f3fн3f3fи3f3fя3f3fх3f3f д3f3fо3f3fк3f3fу3f3fм3f3fе3f3fн3f3fт3f3fа3f3f"/>
    <w:basedOn w:val="3f3f3f3f3f3f3f3f3f3f3f3f3f3f3f3f3f3f3f3f3f3f"/>
    <w:uiPriority w:val="99"/>
    <w:rPr>
      <w:i/>
      <w:iCs/>
    </w:rPr>
  </w:style>
  <w:style w:type="paragraph" w:customStyle="1" w:styleId="3f3f3f3f3f3f3f3f3f3f3f3f3f3f3f3f3f3f3f3f3f3f3f3f3f3f3f3f3f3f3f3f3f3f0">
    <w:name w:val="Н3f3fо3f3fр3f3fм3f3fа3f3fл3f3fь3f3fн3f3fы3f3fй3f3f (т3f3fа3f3fб3f3fл3f3fи3f3fц3f3fа3f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3f3f3f3f3f3f3f3f3f3f3f3f3f3f3f3f3f3f3f">
    <w:name w:val="Т3f3fа3f3fб3f3fл3f3fи3f3fц3f3fы3f3f (м3f3fо3f3fн3f3fо3f3fш3f3fи3f3fр3f3fи3f3fн3f3fн3f3fы3f3fй3f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3f3f3f3f3f3f3f3f3f3f3f3f3f3f3f3f3f3f3f3f3f3f3f3f3f3f3f3f3f3f3f3f3f3f3f3f3f">
    <w:name w:val="П3f3fо3f3fд3f3fз3f3fа3f3fг3f3fо3f3fл3f3fо3f3fв3f3fо3f3fк3f3f д3f3fл3f3fя3f3f и3f3fн3f3fф3f3fо3f3fр3f3fм3f3fа3f3fц3f3fи3f3fи3f3f о3f3fб3f3f и3f3fз3f3fм3f3fе3f3fн3f3fе3f3fн3f3fи3f3fя3f3fх3f3f"/>
    <w:basedOn w:val="3f3f3f3f3f3f3f3f3f3f3f3f3f3f3f3f3f3f3f3f3f3f3f3f3f3f3f3f3f3f3f3f3f3f3f3f3f3f3f3f3f3f3f3f3f3f3f3f3f3f3f3f3f3f"/>
    <w:uiPriority w:val="99"/>
    <w:rPr>
      <w:b/>
      <w:bCs/>
    </w:rPr>
  </w:style>
  <w:style w:type="paragraph" w:customStyle="1" w:styleId="3f3f3f3f3f3f3f3f3f3f3f3f3f3f3f3f3f3f3f3f3f3f3f3f3f3f0">
    <w:name w:val="П3f3fр3f3fи3f3fж3f3fа3f3fт3f3fы3f3fй3f3f в3f3fл3f3fе3f3fв3f3fо3f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customStyle="1" w:styleId="3f3f3f3f3f3f3f3f3f3f3f3f3f3f3f3f3f3f3f3f3f3f3f3f3f3f3f3f3f3f3f3f3f3f1">
    <w:name w:val="С3f3fо3f3fд3f3fе3f3fр3f3fж3f3fи3f3fм3f3fо3f3fе3f3f т3f3fа3f3fб3f3fл3f3fи3f3fц3f3fы3f3f"/>
    <w:basedOn w:val="a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7DBB707D08B100F413D17FDE5FF5350E61E5089C8EFD39539AFA9DE3DB75A2C2379C5EAD503D2107194C0C58A1ACDCA3FE29AC5A966346A78A69ACc4J" TargetMode="External"/><Relationship Id="rId18" Type="http://schemas.openxmlformats.org/officeDocument/2006/relationships/hyperlink" Target="consultantplus://offline/ref=72791586F825E05D713A49F51879416C6B2B64218824CB94972B06014BCAEE22674E84D27F42BB5123B7DFE28735L8K" TargetMode="External"/><Relationship Id="rId26" Type="http://schemas.openxmlformats.org/officeDocument/2006/relationships/hyperlink" Target="consultantplus://offline/ref=6BB8011D08EDD353CD75935C510E34786A9842A16F217EA59A012A47E12A4A4D726FFE85EC2DFB7664632289462CF45268A11D0E7E546D1117B62B21B757E" TargetMode="External"/><Relationship Id="rId39" Type="http://schemas.openxmlformats.org/officeDocument/2006/relationships/hyperlink" Target="consultantplus://offline/ref=04E7CA20A92175C12FC140BEBE5852F3832779D947CAB9B24B5521B9D8DA04DBAA0D9A2F1997FF1FC114DED4B28E8E4E423731476F32E67D3D5358D1tEF6K" TargetMode="External"/><Relationship Id="rId21" Type="http://schemas.openxmlformats.org/officeDocument/2006/relationships/hyperlink" Target="consultantplus://offline/ref=51907012F266E082C1E06CB925137BD3091F54590800287E3F8835746BC6653D427D1834740730F11CC46325DB410FCA12B3BE8BB85B296E3EEDA60Fo5N0K" TargetMode="External"/><Relationship Id="rId34" Type="http://schemas.openxmlformats.org/officeDocument/2006/relationships/hyperlink" Target="consultantplus://offline/ref=04E7CA20A92175C12FC140BEBE5852F3832779D947CAB9B24B5521B9D8DA04DBAA0D9A2F1997FF1FC114DED9B78E8E4E423731476F32E67D3D5358D1tEF6K" TargetMode="External"/><Relationship Id="rId42" Type="http://schemas.openxmlformats.org/officeDocument/2006/relationships/hyperlink" Target="consultantplus://offline/ref=04E7CA20A92175C12FC15EB3A8340CF9802E25D547C0BBE3130927EE878A028EEA4D9C785DD3F61595459F84BC87D301066B2247662EtEF4K" TargetMode="External"/><Relationship Id="rId47" Type="http://schemas.openxmlformats.org/officeDocument/2006/relationships/hyperlink" Target="consultantplus://offline/ref=F30455041E6FE3FBF501288ED0D25D547C50073E378325CCC43791FB4C6B1A5A5BA1A479B96C5A322C970F618F5CFE01646279781BD8615BuCC4N" TargetMode="External"/><Relationship Id="rId50" Type="http://schemas.openxmlformats.org/officeDocument/2006/relationships/hyperlink" Target="consultantplus://offline/ref=D0842E36A95F1529080B1CCC4A112CFB10619D578CDBEDE200D85361330B910A2A0098A8730F6F3F11AD62606E771953EC365ECA02D55C9659D7FF31e2kCS" TargetMode="External"/><Relationship Id="rId55" Type="http://schemas.openxmlformats.org/officeDocument/2006/relationships/hyperlink" Target="consultantplus://offline/ref=18C31F44EFB2937123514725F7B6E570722635596789208A0E1115B8FD83F902433BC70173B8427E1FE99A7DA9E12CFA9B248BB48AF3BF0BA563F01CY9V7T" TargetMode="External"/><Relationship Id="rId7" Type="http://schemas.openxmlformats.org/officeDocument/2006/relationships/hyperlink" Target="consultantplus://offline/ref=AA0DB37F50BFCCA578E10DACF1070A0C7E6AEF867A3383B4225B9CCBC6B0E25D28203551511EAAD01B307A180B401BD39313D90FAD178D22506EB76DW3j6J" TargetMode="External"/><Relationship Id="rId12" Type="http://schemas.openxmlformats.org/officeDocument/2006/relationships/hyperlink" Target="consultantplus://offline/ref=197DBB707D08B100F413D17FDE5FF5350E61E5089D89F23B519AFA9DE3DB75A2C2379C5EAD503D2107194C0C58A1ACDCA3FE29AC5A966346A78A69ACc4J" TargetMode="External"/><Relationship Id="rId17" Type="http://schemas.openxmlformats.org/officeDocument/2006/relationships/hyperlink" Target="consultantplus://offline/ref=C376ADDB70214EA3EA9735385E9EA12ED0AB91CFD9D3173F6817430543724EA30694F6D097248D06969D32647DD34944F60B3481C4F813E806y4K" TargetMode="External"/><Relationship Id="rId25" Type="http://schemas.openxmlformats.org/officeDocument/2006/relationships/hyperlink" Target="consultantplus://offline/ref=6BB8011D08EDD353CD75935C510E34786A9842A16F217EA59A012A47E12A4A4D726FFE85EC2DFB7664632289472CF45268A11D0E7E546D1117B62B21B757E" TargetMode="External"/><Relationship Id="rId33" Type="http://schemas.openxmlformats.org/officeDocument/2006/relationships/hyperlink" Target="consultantplus://offline/ref=714CFA146112C126EFA81E6317DA750EF7BE140F1EF3D494E2F3A60172B0D6F16F32CBC4959971393B503797E6I2L1J" TargetMode="External"/><Relationship Id="rId38" Type="http://schemas.openxmlformats.org/officeDocument/2006/relationships/hyperlink" Target="consultantplus://offline/ref=04E7CA20A92175C12FC140BEBE5852F3832779D947CAB9B24B5521B9D8DA04DBAA0D9A2F1997FF1FC114DED4B18E8E4E423731476F32E67D3D5358D1tEF6K" TargetMode="External"/><Relationship Id="rId46" Type="http://schemas.openxmlformats.org/officeDocument/2006/relationships/hyperlink" Target="consultantplus://offline/ref=F30455041E6FE3FBF501288ED0D25D547C50073E378325CCC43791FB4C6B1A5A5BA1A479B96C5A322C970F618F5CFE01646279781BD8615BuCC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76ADDB70214EA3EA972B3548F2FF24D3A1CAC6D1DE1461334345521C2248F646D4F085D1698203929666343F8D1017B040398AD8E413E3782889940Dy2K" TargetMode="External"/><Relationship Id="rId20" Type="http://schemas.openxmlformats.org/officeDocument/2006/relationships/hyperlink" Target="consultantplus://offline/ref=51907012F266E082C1E06CB925137BD3091F54590800287E3F8835746BC6653D427D1834740730F11CC46326DB410FCA12B3BE8BB85B296E3EEDA60Fo5N0K" TargetMode="External"/><Relationship Id="rId29" Type="http://schemas.openxmlformats.org/officeDocument/2006/relationships/hyperlink" Target="consultantplus://offline/ref=D42A23812B8C6ED9B49BD394BE069770B575D9936C1AA8B8A6D37D6A0D52FECDE5426CB8CB87D3F659DE0178956DCF444AEBFC11F124097E7F0D8E0CN170E" TargetMode="External"/><Relationship Id="rId41" Type="http://schemas.openxmlformats.org/officeDocument/2006/relationships/hyperlink" Target="consultantplus://offline/ref=04E7CA20A92175C12FC15EB3A8340CF9802E25D547C0BBE3130927EE878A028EEA4D9C785DD1F01595459F84BC87D301066B2247662EtEF4K" TargetMode="External"/><Relationship Id="rId54" Type="http://schemas.openxmlformats.org/officeDocument/2006/relationships/hyperlink" Target="consultantplus://offline/ref=D0842E36A95F1529080B1CCC4A112CFB10619D578CDBEDE200D85361330B910A2A0098A8730F6F3F11AD626E6B771953EC365ECA02D55C9659D7FF31e2kC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7DBB707D08B100F413D17FDE5FF5350E61E5089D8BF03B5D9AFA9DE3DB75A2C2379C5EAD503D2107194C0C58A1ACDCA3FE29AC5A966346A78A69ACc4J" TargetMode="External"/><Relationship Id="rId24" Type="http://schemas.openxmlformats.org/officeDocument/2006/relationships/hyperlink" Target="consultantplus://offline/ref=6BB8011D08EDD353CD75935C510E34786A9842A16F217EA59A012A47E12A4A4D726FFE85EC2DFB766463228F4D2CF45268A11D0E7E546D1117B62B21B757E" TargetMode="External"/><Relationship Id="rId32" Type="http://schemas.openxmlformats.org/officeDocument/2006/relationships/hyperlink" Target="consultantplus://offline/ref=D42A23812B8C6ED9B49BD394BE069770B575D9936C1AA8B8A6D37D6A0D52FECDE5426CB8CB87D3F659DE0179916DCF444AEBFC11F124097E7F0D8E0CN170E" TargetMode="External"/><Relationship Id="rId37" Type="http://schemas.openxmlformats.org/officeDocument/2006/relationships/hyperlink" Target="consultantplus://offline/ref=04E7CA20A92175C12FC140BEBE5852F3832779D947CAB9B24B5521B9D8DA04DBAA0D9A2F1997FF1FC114DED5B68E8E4E423731476F32E67D3D5358D1tEF6K" TargetMode="External"/><Relationship Id="rId40" Type="http://schemas.openxmlformats.org/officeDocument/2006/relationships/hyperlink" Target="consultantplus://offline/ref=04E7CA20A92175C12FC15EB3A8340CF9802E25D547C0BBE3130927EE878A028EEA4D9C785DD3F61595459F84BC87D301066B2247662EtEF4K" TargetMode="External"/><Relationship Id="rId45" Type="http://schemas.openxmlformats.org/officeDocument/2006/relationships/hyperlink" Target="consultantplus://offline/ref=F30455041E6FE3FBF501288ED0D25D547C50073E378325CCC43791FB4C6B1A5A5BA1A479B96C5A322C970F618F5CFE01646279781BD8615BuCC4N" TargetMode="External"/><Relationship Id="rId53" Type="http://schemas.openxmlformats.org/officeDocument/2006/relationships/hyperlink" Target="consultantplus://offline/ref=D0842E36A95F1529080B1CCC4A112CFB10619D578CDBEDE200D85361330B910A2A0098A8730F6F3F11AD606366771953EC365ECA02D55C9659D7FF31e2kC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7DBB707D08B100F413D17FDE5FF5350E61E5089C8BF732509AFA9DE3DB75A2C2379C5EAD503D2107194C0C58A1ACDCA3FE29AC5A966346A78A69ACc4J" TargetMode="External"/><Relationship Id="rId23" Type="http://schemas.openxmlformats.org/officeDocument/2006/relationships/hyperlink" Target="consultantplus://offline/ref=51907012F266E082C1E06CB925137BD3091F54590800287E3F8835746BC6653D427D1834740730F11CC46324D7410FCA12B3BE8BB85B296E3EEDA60Fo5N0K" TargetMode="External"/><Relationship Id="rId28" Type="http://schemas.openxmlformats.org/officeDocument/2006/relationships/hyperlink" Target="consultantplus://offline/ref=D42A23812B8C6ED9B49BD394BE069770B575D9936C1AA8B8A6D37D6A0D52FECDE5426CB8CB87D3F659DE0178976DCF444AEBFC11F124097E7F0D8E0CN170E" TargetMode="External"/><Relationship Id="rId36" Type="http://schemas.openxmlformats.org/officeDocument/2006/relationships/hyperlink" Target="consultantplus://offline/ref=04E7CA20A92175C12FC140BEBE5852F3832779D947CAB9B24B5521B9D8DA04DBAA0D9A2F1997FF1FC114DDD6B58E8E4E423731476F32E67D3D5358D1tEF6K" TargetMode="External"/><Relationship Id="rId49" Type="http://schemas.openxmlformats.org/officeDocument/2006/relationships/hyperlink" Target="consultantplus://offline/ref=D0842E36A95F1529080B1CCC4A112CFB10619D578CDBEDE200D85361330B910A2A0098A8730F6F3F11AD626566771953EC365ECA02D55C9659D7FF31e2kCS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97DBB707D08B100F413D17FDE5FF5350E61E5089D8CF23E5C9AFA9DE3DB75A2C2379C5EAD503D2107194C0C58A1ACDCA3FE29AC5A966346A78A69ACc4J" TargetMode="External"/><Relationship Id="rId19" Type="http://schemas.openxmlformats.org/officeDocument/2006/relationships/hyperlink" Target="consultantplus://offline/ref=51907012F266E082C1E06CB925137BD3091F54590800287E3F8835746BC6653D427D1834740730F11CC46327DF410FCA12B3BE8BB85B296E3EEDA60Fo5N0K" TargetMode="External"/><Relationship Id="rId31" Type="http://schemas.openxmlformats.org/officeDocument/2006/relationships/hyperlink" Target="consultantplus://offline/ref=D42A23812B8C6ED9B49BD394BE069770B575D9936C1AA8B8A6D37D6A0D52FECDE5426CB8CB87D3F659DE0178966DCF444AEBFC11F124097E7F0D8E0CN170E" TargetMode="External"/><Relationship Id="rId44" Type="http://schemas.openxmlformats.org/officeDocument/2006/relationships/hyperlink" Target="http://www.mcxkchr.ru/" TargetMode="External"/><Relationship Id="rId52" Type="http://schemas.openxmlformats.org/officeDocument/2006/relationships/hyperlink" Target="consultantplus://offline/ref=D0842E36A95F1529080B1CCC4A112CFB10619D578CDBEDE200D85361330B910A2A0098A8730F6F3F11AD626E6A771953EC365ECA02D55C9659D7FF31e2k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DBB707D08B100F413D17FDE5FF5350E61E5089D8CF4325D9AFA9DE3DB75A2C2379C5EAD503D2107194E0D58A1ACDCA3FE29AC5A966346A78A69ACc4J" TargetMode="External"/><Relationship Id="rId14" Type="http://schemas.openxmlformats.org/officeDocument/2006/relationships/hyperlink" Target="consultantplus://offline/ref=197DBB707D08B100F413D17FDE5FF5350E61E5089C8CF138509AFA9DE3DB75A2C2379C5EAD503D2107194F0A58A1ACDCA3FE29AC5A966346A78A69ACc4J" TargetMode="External"/><Relationship Id="rId22" Type="http://schemas.openxmlformats.org/officeDocument/2006/relationships/hyperlink" Target="consultantplus://offline/ref=51907012F266E082C1E06CB925137BD3091F54590800287E3F8835746BC6653D427D1834740730F11CC46324D8410FCA12B3BE8BB85B296E3EEDA60Fo5N0K" TargetMode="External"/><Relationship Id="rId27" Type="http://schemas.openxmlformats.org/officeDocument/2006/relationships/hyperlink" Target="consultantplus://offline/ref=D42A23812B8C6ED9B49BD394BE069770B575D9936C1AA8B8A6D37D6A0D52FECDE5426CB8CB87D3F659DE0179906DCF444AEBFC11F124097E7F0D8E0CN170E" TargetMode="External"/><Relationship Id="rId30" Type="http://schemas.openxmlformats.org/officeDocument/2006/relationships/hyperlink" Target="consultantplus://offline/ref=D42A23812B8C6ED9B49BD394BE069770B575D9936C1AA8B8A6D37D6A0D52FECDE5426CB8CB87D3F659DE0178946DCF444AEBFC11F124097E7F0D8E0CN170E" TargetMode="External"/><Relationship Id="rId35" Type="http://schemas.openxmlformats.org/officeDocument/2006/relationships/hyperlink" Target="consultantplus://offline/ref=04E7CA20A92175C12FC15EB3A8340CF9872422D54FC1BBE3130927EE878A028EF84DC47658DAEC1EC80AD9D1B3t8F7K" TargetMode="External"/><Relationship Id="rId43" Type="http://schemas.openxmlformats.org/officeDocument/2006/relationships/hyperlink" Target="consultantplus://offline/ref=04E7CA20A92175C12FC15EB3A8340CF9802E25D547C0BBE3130927EE878A028EEA4D9C785DD1F01595459F84BC87D301066B2247662EtEF4K" TargetMode="External"/><Relationship Id="rId48" Type="http://schemas.openxmlformats.org/officeDocument/2006/relationships/hyperlink" Target="consultantplus://offline/ref=2BF51C0EAB607364A3A9C96B09DA57025FA9950E451A02637FA03E2D3A91E529BD8D8E3B5799AD83F63E048F1B575F8937F40013069F5AF354C93DGDYF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97DBB707D08B100F413D17FDE5FF5350E61E5089C8EFD3F519AFA9DE3DB75A2C2379C5EAD503D21071B480B58A1ACDCA3FE29AC5A966346A78A69ACc4J" TargetMode="External"/><Relationship Id="rId51" Type="http://schemas.openxmlformats.org/officeDocument/2006/relationships/hyperlink" Target="consultantplus://offline/ref=D0842E36A95F1529080B1CCC4A112CFB10619D578CDBEDE200D85361330B910A2A0098A8730F6F3F11AD626168771953EC365ECA02D55C9659D7FF31e2kC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2022-10-17T11:39:00Z</cp:lastPrinted>
  <dcterms:created xsi:type="dcterms:W3CDTF">2022-12-07T12:49:00Z</dcterms:created>
  <dcterms:modified xsi:type="dcterms:W3CDTF">2022-12-07T12:49:00Z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Abrek Azretovich</vt:lpwstr>
  </property>
</Properties>
</file>